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Northwind Retail plc</w:t>
      </w:r>
    </w:p>
    <w:p>
      <w:pPr>
        <w:jc w:val="left"/>
      </w:pPr>
      <w:r>
        <w:t>IT Change Management Policy — ITGC-CM-02</w:t>
      </w:r>
    </w:p>
    <w:p>
      <w:r>
        <w:t>Version 4.1 · Effective 1 January 2026 · Owner: Head of IT Operations · Next review: 31 December 2026</w:t>
      </w:r>
    </w:p>
    <w:p>
      <w:r>
        <w:rPr>
          <w:i/>
          <w:color w:val="666666"/>
          <w:sz w:val="17"/>
        </w:rPr>
        <w:t>FICTIONAL SAMPLE. Northwind Retail plc and everything in this document are invented for product demonstration. It is not the policy of any real organisation.</w:t>
      </w:r>
    </w:p>
    <w:p>
      <w:pPr>
        <w:pStyle w:val="Heading1"/>
      </w:pPr>
      <w:r>
        <w:rPr>
          <w:color w:val="1A3A6B"/>
        </w:rPr>
        <w:t>1. Purpose and scope</w:t>
      </w:r>
    </w:p>
    <w:p>
      <w:r>
        <w:t>This policy governs all changes to production information systems that are in scope for financial reporting, including the ERP (SAP S/4HANA), the e-commerce platform, the data warehouse and supporting infrastructure. It applies to employees and to third parties performing changes on Northwind’s behalf.</w:t>
      </w:r>
    </w:p>
    <w:p>
      <w:r>
        <w:t>Out of scope: changes to non-production environments, and changes to end-user devices, which are governed by ITGC-EU-01.</w:t>
      </w:r>
    </w:p>
    <w:p>
      <w:pPr>
        <w:pStyle w:val="Heading1"/>
      </w:pPr>
      <w:r>
        <w:rPr>
          <w:color w:val="1A3A6B"/>
        </w:rPr>
        <w:t>2. Change categories</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Category</w:t>
            </w:r>
          </w:p>
        </w:tc>
        <w:tc>
          <w:tcPr>
            <w:tcW w:type="dxa" w:w="2880"/>
          </w:tcPr>
          <w:p>
            <w:r>
              <w:t>Definition</w:t>
            </w:r>
          </w:p>
        </w:tc>
        <w:tc>
          <w:tcPr>
            <w:tcW w:type="dxa" w:w="2880"/>
          </w:tcPr>
          <w:p>
            <w:r>
              <w:t>Approval required</w:t>
            </w:r>
          </w:p>
        </w:tc>
      </w:tr>
      <w:tr>
        <w:tc>
          <w:tcPr>
            <w:tcW w:type="dxa" w:w="2880"/>
          </w:tcPr>
          <w:p>
            <w:r>
              <w:t>Standard</w:t>
            </w:r>
          </w:p>
        </w:tc>
        <w:tc>
          <w:tcPr>
            <w:tcW w:type="dxa" w:w="2880"/>
          </w:tcPr>
          <w:p>
            <w:r>
              <w:t>Pre-approved, low risk, repeatable and documented in the standard change catalogue (for example, a price-list refresh).</w:t>
            </w:r>
          </w:p>
        </w:tc>
        <w:tc>
          <w:tcPr>
            <w:tcW w:type="dxa" w:w="2880"/>
          </w:tcPr>
          <w:p>
            <w:r>
              <w:t>Pre-approved. No CAB review. Logged in the ticket system.</w:t>
            </w:r>
          </w:p>
        </w:tc>
      </w:tr>
      <w:tr>
        <w:tc>
          <w:tcPr>
            <w:tcW w:type="dxa" w:w="2880"/>
          </w:tcPr>
          <w:p>
            <w:r>
              <w:t>Normal</w:t>
            </w:r>
          </w:p>
        </w:tc>
        <w:tc>
          <w:tcPr>
            <w:tcW w:type="dxa" w:w="2880"/>
          </w:tcPr>
          <w:p>
            <w:r>
              <w:t>Any change that is not standard or emergency.</w:t>
            </w:r>
          </w:p>
        </w:tc>
        <w:tc>
          <w:tcPr>
            <w:tcW w:type="dxa" w:w="2880"/>
          </w:tcPr>
          <w:p>
            <w:r>
              <w:t>Change Advisory Board approval before deployment. Two approvals required for changes affecting the general ledger.</w:t>
            </w:r>
          </w:p>
        </w:tc>
      </w:tr>
      <w:tr>
        <w:tc>
          <w:tcPr>
            <w:tcW w:type="dxa" w:w="2880"/>
          </w:tcPr>
          <w:p>
            <w:r>
              <w:t>Emergency</w:t>
            </w:r>
          </w:p>
        </w:tc>
        <w:tc>
          <w:tcPr>
            <w:tcW w:type="dxa" w:w="2880"/>
          </w:tcPr>
          <w:p>
            <w:r>
              <w:t>A change required to restore service or to prevent imminent financial or regulatory harm.</w:t>
            </w:r>
          </w:p>
        </w:tc>
        <w:tc>
          <w:tcPr>
            <w:tcW w:type="dxa" w:w="2880"/>
          </w:tcPr>
          <w:p>
            <w:r>
              <w:t>Verbal approval from the Head of IT Operations or a nominated deputy before deployment; retrospective CAB approval within two business days.</w:t>
            </w:r>
          </w:p>
        </w:tc>
      </w:tr>
    </w:tbl>
    <w:p>
      <w:pPr>
        <w:pStyle w:val="Heading1"/>
      </w:pPr>
      <w:r>
        <w:rPr>
          <w:color w:val="1A3A6B"/>
        </w:rPr>
        <w:t>3. Segregation of duties</w:t>
      </w:r>
    </w:p>
    <w:p>
      <w:r>
        <w:t>A developer may not approve their own change, and may not deploy to production. Deployment is performed exclusively by the automated release pipeline. Direct production database changes are prohibited except under the emergency procedure, and must be logged with the executing statement retained for audit.</w:t>
      </w:r>
    </w:p>
    <w:p>
      <w:pPr>
        <w:pStyle w:val="Heading1"/>
      </w:pPr>
      <w:r>
        <w:rPr>
          <w:color w:val="1A3A6B"/>
        </w:rPr>
        <w:t>4. Testing and evidence</w:t>
      </w:r>
    </w:p>
    <w:p>
      <w:pPr>
        <w:pStyle w:val="ListBullet"/>
      </w:pPr>
      <w:r>
        <w:t>Every normal change must record evidence of testing in a non-production environment before CAB submission.</w:t>
      </w:r>
    </w:p>
    <w:p>
      <w:pPr>
        <w:pStyle w:val="ListBullet"/>
      </w:pPr>
      <w:r>
        <w:t>Changes affecting financial calculations require sign-off by a nominated member of the Finance Systems team.</w:t>
      </w:r>
    </w:p>
    <w:p>
      <w:pPr>
        <w:pStyle w:val="ListBullet"/>
      </w:pPr>
      <w:r>
        <w:t>Rollback steps must be documented before deployment.</w:t>
      </w:r>
    </w:p>
    <w:p>
      <w:pPr>
        <w:pStyle w:val="ListBullet"/>
      </w:pPr>
      <w:r>
        <w:t>The ticket record is the system of record. A change without a ticket is a policy breach and must be raised as an incident.</w:t>
      </w:r>
    </w:p>
    <w:p>
      <w:pPr>
        <w:pStyle w:val="Heading1"/>
      </w:pPr>
      <w:r>
        <w:rPr>
          <w:color w:val="1A3A6B"/>
        </w:rPr>
        <w:t>5. Emergency changes</w:t>
      </w:r>
    </w:p>
    <w:p>
      <w:r>
        <w:t>Emergency changes carry the same evidence requirements as normal changes, applied retrospectively. The Head of IT Operations reviews all emergency changes monthly. Where emergency changes exceed 5% of total changes in a quarter, the Head of IT Operations must report the cause and remediation to the Audit Committee.</w:t>
      </w:r>
    </w:p>
    <w:p>
      <w:pPr>
        <w:pStyle w:val="Heading1"/>
      </w:pPr>
      <w:r>
        <w:rPr>
          <w:color w:val="1A3A6B"/>
        </w:rPr>
        <w:t>6. Access to the release pipeline</w:t>
      </w:r>
    </w:p>
    <w:p>
      <w:r>
        <w:t>Pipeline administrator rights are restricted to the Platform Engineering team and are reviewed quarterly. The service principal used for deployment holds no interactive login. Its credentials are rotated every 90 days.</w:t>
      </w:r>
    </w:p>
    <w:p>
      <w:pPr>
        <w:pStyle w:val="Heading1"/>
      </w:pPr>
      <w:r>
        <w:rPr>
          <w:color w:val="1A3A6B"/>
        </w:rPr>
        <w:t>7. Exceptions</w:t>
      </w:r>
    </w:p>
    <w:p>
      <w:r>
        <w:t>Any deviation from this policy requires a documented exception approved by the Head of IT Operations and the Head of Internal Audit, with a stated expiry date not exceeding six months.</w:t>
      </w:r>
    </w:p>
    <w:p>
      <w:pPr>
        <w:pStyle w:val="Heading1"/>
      </w:pPr>
      <w:r>
        <w:rPr>
          <w:color w:val="1A3A6B"/>
        </w:rPr>
        <w:t>8. Related documents</w:t>
      </w:r>
    </w:p>
    <w:p>
      <w:pPr>
        <w:pStyle w:val="ListBullet"/>
      </w:pPr>
      <w:r>
        <w:t>ITGC-AC-01 Logical Access Policy</w:t>
      </w:r>
    </w:p>
    <w:p>
      <w:pPr>
        <w:pStyle w:val="ListBullet"/>
      </w:pPr>
      <w:r>
        <w:t>ITGC-OP-03 Batch Job Monitoring Standard</w:t>
      </w:r>
    </w:p>
    <w:p>
      <w:pPr>
        <w:pStyle w:val="ListBullet"/>
      </w:pPr>
      <w:r>
        <w:t>ITGC-EU-01 End User Computing Policy</w:t>
      </w:r>
    </w:p>
    <w:p>
      <w:pPr>
        <w:pStyle w:val="ListBullet"/>
      </w:pPr>
      <w:r>
        <w:t>SOX Control Matrix FY2026 (Finance)</w:t>
      </w:r>
    </w:p>
    <w:p>
      <w:r>
        <w:rPr>
          <w:i/>
          <w:color w:val="666666"/>
          <w:sz w:val="17"/>
        </w:rPr>
        <w:t>FICTIONAL SAMPLE — for demonstrating document analysis in NextGen GRC.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